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7E7224">
              <w:t>Tuesday September 12, 2017</w:t>
            </w:r>
          </w:p>
          <w:p w:rsidR="002878B1" w:rsidRDefault="001E680B">
            <w:r>
              <w:t xml:space="preserve">Time: </w:t>
            </w:r>
            <w:r w:rsidR="007E7224">
              <w:t>12:00 P.M. to 2</w:t>
            </w:r>
            <w:r w:rsidR="00494C2D">
              <w:t xml:space="preserve">:00 P.M. </w:t>
            </w:r>
          </w:p>
        </w:tc>
        <w:tc>
          <w:tcPr>
            <w:tcW w:w="6108" w:type="dxa"/>
          </w:tcPr>
          <w:p w:rsidR="002878B1" w:rsidRDefault="002878B1" w:rsidP="007E7224">
            <w:pPr>
              <w:jc w:val="right"/>
            </w:pPr>
            <w:r>
              <w:t xml:space="preserve">Location: </w:t>
            </w:r>
            <w:r w:rsidR="007E7224">
              <w:t>A253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7E7224" w:rsidRDefault="007E7224" w:rsidP="007E7224">
            <w:pPr>
              <w:tabs>
                <w:tab w:val="left" w:pos="319"/>
                <w:tab w:val="left" w:pos="4369"/>
              </w:tabs>
              <w:ind w:left="319"/>
            </w:pPr>
            <w:r>
              <w:t xml:space="preserve">Darshak Patel </w:t>
            </w:r>
            <w:r>
              <w:tab/>
              <w:t>Director</w:t>
            </w:r>
          </w:p>
          <w:p w:rsidR="00B95206" w:rsidRDefault="00B95206" w:rsidP="00B95206">
            <w:pPr>
              <w:tabs>
                <w:tab w:val="left" w:pos="319"/>
                <w:tab w:val="left" w:pos="4369"/>
              </w:tabs>
              <w:ind w:left="319"/>
            </w:pPr>
            <w:r>
              <w:t>Jake Chevrier</w:t>
            </w:r>
            <w:r>
              <w:tab/>
              <w:t>VP Administration</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585427">
            <w:pPr>
              <w:tabs>
                <w:tab w:val="left" w:pos="319"/>
                <w:tab w:val="left" w:pos="4369"/>
              </w:tabs>
              <w:ind w:left="319"/>
            </w:pPr>
            <w:r>
              <w:t xml:space="preserve">Paulo Cardoso </w:t>
            </w:r>
            <w:r>
              <w:tab/>
              <w:t>VP Stud</w:t>
            </w:r>
            <w:r w:rsidR="00585427">
              <w:t>ent Engagement &amp; Communications</w:t>
            </w:r>
            <w:bookmarkStart w:id="0" w:name="_GoBack"/>
            <w:bookmarkEnd w:id="0"/>
          </w:p>
        </w:tc>
      </w:tr>
      <w:tr w:rsidR="00D24617" w:rsidTr="001E680B">
        <w:tc>
          <w:tcPr>
            <w:tcW w:w="9775" w:type="dxa"/>
            <w:gridSpan w:val="2"/>
          </w:tcPr>
          <w:p w:rsidR="00D24617" w:rsidRDefault="00065BD4">
            <w:r>
              <w:t>Regrets</w:t>
            </w:r>
            <w:r w:rsidR="00D24617">
              <w:t>:</w:t>
            </w:r>
          </w:p>
          <w:p w:rsidR="004B50DA" w:rsidRDefault="004B50DA" w:rsidP="004B50DA">
            <w:pPr>
              <w:tabs>
                <w:tab w:val="left" w:pos="4369"/>
              </w:tabs>
              <w:ind w:left="319"/>
            </w:pPr>
            <w:r>
              <w:t xml:space="preserve">Anushka Angurala </w:t>
            </w:r>
            <w:r>
              <w:tab/>
              <w:t>Director</w:t>
            </w:r>
          </w:p>
          <w:p w:rsidR="00D24617" w:rsidRDefault="005A06A0" w:rsidP="005A06A0">
            <w:pPr>
              <w:tabs>
                <w:tab w:val="left" w:pos="319"/>
                <w:tab w:val="left" w:pos="4369"/>
              </w:tabs>
              <w:ind w:left="319"/>
            </w:pPr>
            <w:r>
              <w:t xml:space="preserve">Greg Gill </w:t>
            </w:r>
            <w:r>
              <w:tab/>
              <w:t>Director</w:t>
            </w:r>
          </w:p>
          <w:p w:rsidR="007E7224" w:rsidRDefault="007E7224" w:rsidP="007E7224">
            <w:pPr>
              <w:tabs>
                <w:tab w:val="left" w:pos="319"/>
                <w:tab w:val="left" w:pos="4369"/>
              </w:tabs>
              <w:ind w:left="319"/>
            </w:pPr>
            <w:r>
              <w:t xml:space="preserve">Kavisha Shah </w:t>
            </w:r>
            <w:r>
              <w:tab/>
              <w:t xml:space="preserve">VP External &amp; Equity </w:t>
            </w:r>
          </w:p>
          <w:p w:rsidR="004B50DA" w:rsidRDefault="004B50DA" w:rsidP="007E7224">
            <w:pPr>
              <w:tabs>
                <w:tab w:val="left" w:pos="319"/>
                <w:tab w:val="left" w:pos="4369"/>
              </w:tabs>
              <w:ind w:left="319"/>
            </w:pPr>
            <w:r>
              <w:t xml:space="preserve">Shannon Kelly </w:t>
            </w:r>
            <w:r>
              <w:tab/>
              <w:t>VP Internal Relations</w:t>
            </w:r>
            <w:r>
              <w:br/>
              <w:t xml:space="preserve">Shivani Talati </w:t>
            </w:r>
            <w:r>
              <w:tab/>
              <w:t>Director</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251D2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4B50DA">
              <w:rPr>
                <w:b/>
              </w:rPr>
              <w:t>12:03 p.m.</w:t>
            </w:r>
          </w:p>
        </w:tc>
      </w:tr>
      <w:tr w:rsidR="005952DE" w:rsidTr="005952DE">
        <w:tc>
          <w:tcPr>
            <w:tcW w:w="9787" w:type="dxa"/>
          </w:tcPr>
          <w:p w:rsidR="005952DE" w:rsidRDefault="005952DE" w:rsidP="00251D2D">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251D2D">
            <w:pPr>
              <w:pStyle w:val="ListParagraph"/>
              <w:numPr>
                <w:ilvl w:val="2"/>
                <w:numId w:val="4"/>
              </w:numPr>
            </w:pPr>
            <w:r>
              <w:t xml:space="preserve">Name </w:t>
            </w:r>
          </w:p>
        </w:tc>
      </w:tr>
      <w:tr w:rsidR="005952DE" w:rsidTr="005952DE">
        <w:tc>
          <w:tcPr>
            <w:tcW w:w="9787" w:type="dxa"/>
          </w:tcPr>
          <w:p w:rsidR="005952DE" w:rsidRDefault="005952DE" w:rsidP="00251D2D">
            <w:r>
              <w:rPr>
                <w:b/>
              </w:rPr>
              <w:t>Acceptance of Agenda:</w:t>
            </w:r>
          </w:p>
          <w:p w:rsidR="005952DE" w:rsidRDefault="005A06A0" w:rsidP="00251D2D">
            <w:pPr>
              <w:pStyle w:val="ListParagraph"/>
              <w:numPr>
                <w:ilvl w:val="0"/>
                <w:numId w:val="1"/>
              </w:numPr>
            </w:pPr>
            <w:r>
              <w:t>No Amendments</w:t>
            </w:r>
          </w:p>
        </w:tc>
      </w:tr>
      <w:tr w:rsidR="005952DE" w:rsidTr="005952DE">
        <w:tc>
          <w:tcPr>
            <w:tcW w:w="9787" w:type="dxa"/>
          </w:tcPr>
          <w:p w:rsidR="005952DE" w:rsidRDefault="005952DE" w:rsidP="00251D2D">
            <w:r>
              <w:rPr>
                <w:b/>
              </w:rPr>
              <w:t xml:space="preserve">Meeting closed at: </w:t>
            </w:r>
            <w:r w:rsidR="00251D2D">
              <w:rPr>
                <w:b/>
              </w:rPr>
              <w:t>1:14 p.m.</w:t>
            </w:r>
          </w:p>
        </w:tc>
      </w:tr>
      <w:tr w:rsidR="005952DE" w:rsidTr="005952DE">
        <w:tc>
          <w:tcPr>
            <w:tcW w:w="9787" w:type="dxa"/>
          </w:tcPr>
          <w:p w:rsidR="005952DE" w:rsidRDefault="005952DE" w:rsidP="00251D2D">
            <w:r>
              <w:rPr>
                <w:b/>
              </w:rPr>
              <w:t xml:space="preserve">Next meeting is </w:t>
            </w:r>
            <w:r w:rsidR="00251D2D">
              <w:rPr>
                <w:b/>
              </w:rPr>
              <w:t>Tuesday September 19, 2017 in A158</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955A63" w:rsidRDefault="007E7224">
            <w:r>
              <w:rPr>
                <w:b/>
              </w:rPr>
              <w:t>Global Talk Show Café</w:t>
            </w:r>
          </w:p>
          <w:p w:rsidR="00BF3798" w:rsidRDefault="00AD2139" w:rsidP="005A06A0">
            <w:pPr>
              <w:pStyle w:val="ListParagraph"/>
              <w:numPr>
                <w:ilvl w:val="0"/>
                <w:numId w:val="1"/>
              </w:numPr>
            </w:pPr>
            <w:r>
              <w:t xml:space="preserve">See attached presentation </w:t>
            </w:r>
          </w:p>
        </w:tc>
        <w:tc>
          <w:tcPr>
            <w:tcW w:w="2701" w:type="dxa"/>
          </w:tcPr>
          <w:p w:rsidR="00955A63" w:rsidRDefault="007E7224" w:rsidP="007E7224">
            <w:pPr>
              <w:jc w:val="center"/>
            </w:pPr>
            <w:r>
              <w:rPr>
                <w:b/>
              </w:rPr>
              <w:t>Kenta Shirakura</w:t>
            </w:r>
          </w:p>
        </w:tc>
      </w:tr>
      <w:tr w:rsidR="007E7224" w:rsidTr="00955A63">
        <w:tc>
          <w:tcPr>
            <w:tcW w:w="7086" w:type="dxa"/>
          </w:tcPr>
          <w:p w:rsidR="007E7224" w:rsidRDefault="007E7224" w:rsidP="007E7224">
            <w:r>
              <w:rPr>
                <w:b/>
              </w:rPr>
              <w:t>Mrs. Grocery</w:t>
            </w:r>
          </w:p>
          <w:p w:rsidR="004B50DA" w:rsidRDefault="004B50DA" w:rsidP="004B50DA">
            <w:pPr>
              <w:pStyle w:val="ListParagraph"/>
              <w:numPr>
                <w:ilvl w:val="0"/>
                <w:numId w:val="1"/>
              </w:numPr>
            </w:pPr>
            <w:r>
              <w:t>Shopping services that specializes in grocery delivery service</w:t>
            </w:r>
          </w:p>
          <w:p w:rsidR="00C15C8C" w:rsidRDefault="004B50DA" w:rsidP="004B50DA">
            <w:pPr>
              <w:pStyle w:val="ListParagraph"/>
              <w:numPr>
                <w:ilvl w:val="0"/>
                <w:numId w:val="1"/>
              </w:numPr>
            </w:pPr>
            <w:r>
              <w:t>Wants to partner to bring awareness of this service to the students at a discount of 3 dollars off.</w:t>
            </w:r>
          </w:p>
          <w:p w:rsidR="00C15C8C" w:rsidRDefault="00C15C8C" w:rsidP="004B50DA">
            <w:pPr>
              <w:pStyle w:val="ListParagraph"/>
              <w:numPr>
                <w:ilvl w:val="0"/>
                <w:numId w:val="1"/>
              </w:numPr>
            </w:pPr>
            <w:r>
              <w:t xml:space="preserve">Looking for marketing promotion support to the student body </w:t>
            </w:r>
          </w:p>
          <w:p w:rsidR="00C15C8C" w:rsidRDefault="00C15C8C" w:rsidP="004B50DA">
            <w:pPr>
              <w:pStyle w:val="ListParagraph"/>
              <w:numPr>
                <w:ilvl w:val="0"/>
                <w:numId w:val="1"/>
              </w:numPr>
            </w:pPr>
            <w:r>
              <w:t xml:space="preserve">$7.00 plus 10% of the bill would be the cost of the service to the students. </w:t>
            </w:r>
          </w:p>
          <w:p w:rsidR="007E7224" w:rsidRDefault="00C15C8C" w:rsidP="004B50DA">
            <w:pPr>
              <w:pStyle w:val="ListParagraph"/>
              <w:numPr>
                <w:ilvl w:val="0"/>
                <w:numId w:val="1"/>
              </w:numPr>
            </w:pPr>
            <w:r>
              <w:t xml:space="preserve">Price may be a little pricy for the student body. </w:t>
            </w:r>
            <w:r w:rsidR="004B50DA">
              <w:t xml:space="preserve"> </w:t>
            </w:r>
          </w:p>
        </w:tc>
        <w:tc>
          <w:tcPr>
            <w:tcW w:w="2701" w:type="dxa"/>
          </w:tcPr>
          <w:p w:rsidR="007E7224" w:rsidRDefault="007E7224" w:rsidP="007E7224">
            <w:pPr>
              <w:jc w:val="center"/>
            </w:pPr>
            <w:r>
              <w:rPr>
                <w:b/>
              </w:rPr>
              <w:t>Eric Kern</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251D2D">
        <w:tc>
          <w:tcPr>
            <w:tcW w:w="7086" w:type="dxa"/>
            <w:shd w:val="clear" w:color="auto" w:fill="002060"/>
          </w:tcPr>
          <w:p w:rsidR="00955A63" w:rsidRPr="005952DE" w:rsidRDefault="005C7059" w:rsidP="00251D2D">
            <w:pPr>
              <w:jc w:val="center"/>
              <w:rPr>
                <w:b/>
              </w:rPr>
            </w:pPr>
            <w:r w:rsidRPr="005952DE">
              <w:rPr>
                <w:b/>
              </w:rPr>
              <w:lastRenderedPageBreak/>
              <w:t>New Business</w:t>
            </w:r>
          </w:p>
        </w:tc>
        <w:tc>
          <w:tcPr>
            <w:tcW w:w="2701" w:type="dxa"/>
            <w:shd w:val="clear" w:color="auto" w:fill="002060"/>
          </w:tcPr>
          <w:p w:rsidR="00955A63" w:rsidRPr="005952DE" w:rsidRDefault="00955A63" w:rsidP="00251D2D">
            <w:pPr>
              <w:jc w:val="center"/>
              <w:rPr>
                <w:b/>
              </w:rPr>
            </w:pPr>
            <w:r w:rsidRPr="005952DE">
              <w:rPr>
                <w:b/>
              </w:rPr>
              <w:t>Presenter</w:t>
            </w:r>
          </w:p>
        </w:tc>
      </w:tr>
      <w:tr w:rsidR="00955A63" w:rsidTr="00251D2D">
        <w:tc>
          <w:tcPr>
            <w:tcW w:w="7086" w:type="dxa"/>
          </w:tcPr>
          <w:p w:rsidR="00BF3798" w:rsidRDefault="005A06A0" w:rsidP="00BF3798">
            <w:r>
              <w:rPr>
                <w:b/>
              </w:rPr>
              <w:t>GCSA Wear</w:t>
            </w:r>
          </w:p>
          <w:p w:rsidR="00955A63" w:rsidRDefault="007E7224" w:rsidP="00251D2D">
            <w:pPr>
              <w:pStyle w:val="ListParagraph"/>
              <w:numPr>
                <w:ilvl w:val="0"/>
                <w:numId w:val="1"/>
              </w:numPr>
            </w:pPr>
            <w:r>
              <w:t xml:space="preserve">Quality of sweaters are not what we expected. </w:t>
            </w:r>
          </w:p>
          <w:p w:rsidR="007E7224" w:rsidRDefault="007E7224" w:rsidP="00251D2D">
            <w:pPr>
              <w:pStyle w:val="ListParagraph"/>
              <w:numPr>
                <w:ilvl w:val="0"/>
                <w:numId w:val="1"/>
              </w:numPr>
            </w:pPr>
            <w:r>
              <w:t>Next moves?</w:t>
            </w:r>
          </w:p>
        </w:tc>
        <w:tc>
          <w:tcPr>
            <w:tcW w:w="2701" w:type="dxa"/>
          </w:tcPr>
          <w:p w:rsidR="00955A63" w:rsidRPr="005A06A0" w:rsidRDefault="005A06A0" w:rsidP="005A06A0">
            <w:pPr>
              <w:jc w:val="center"/>
            </w:pPr>
            <w:r>
              <w:rPr>
                <w:b/>
              </w:rPr>
              <w:t xml:space="preserve">Jake Chevrier </w:t>
            </w:r>
          </w:p>
        </w:tc>
      </w:tr>
      <w:tr w:rsidR="00955A63" w:rsidTr="00251D2D">
        <w:tc>
          <w:tcPr>
            <w:tcW w:w="7086" w:type="dxa"/>
          </w:tcPr>
          <w:p w:rsidR="007E7224" w:rsidRDefault="007E7224" w:rsidP="007E7224">
            <w:pPr>
              <w:rPr>
                <w:b/>
              </w:rPr>
            </w:pPr>
            <w:r w:rsidRPr="007E7224">
              <w:rPr>
                <w:b/>
              </w:rPr>
              <w:t xml:space="preserve">Front Desk/Office Hours </w:t>
            </w:r>
          </w:p>
          <w:p w:rsidR="00955A63" w:rsidRDefault="007E7224" w:rsidP="007E7224">
            <w:pPr>
              <w:pStyle w:val="ListParagraph"/>
              <w:numPr>
                <w:ilvl w:val="0"/>
                <w:numId w:val="5"/>
              </w:numPr>
            </w:pPr>
            <w:r>
              <w:t xml:space="preserve">Please update your doors with the correct office hours as soon as you can </w:t>
            </w:r>
          </w:p>
          <w:p w:rsidR="007E7224" w:rsidRDefault="007E7224" w:rsidP="007E7224">
            <w:pPr>
              <w:pStyle w:val="ListParagraph"/>
              <w:numPr>
                <w:ilvl w:val="0"/>
                <w:numId w:val="5"/>
              </w:numPr>
            </w:pPr>
            <w:r>
              <w:t>We need full coverage of the front desk. Nicolette and Miguel will be here, but we need a secondary person to be up front with them</w:t>
            </w:r>
          </w:p>
        </w:tc>
        <w:tc>
          <w:tcPr>
            <w:tcW w:w="2701" w:type="dxa"/>
          </w:tcPr>
          <w:p w:rsidR="00955A63" w:rsidRDefault="005A06A0" w:rsidP="00BC204A">
            <w:pPr>
              <w:jc w:val="center"/>
            </w:pPr>
            <w:r>
              <w:rPr>
                <w:b/>
              </w:rPr>
              <w:t>Jake Chevrier</w:t>
            </w:r>
          </w:p>
        </w:tc>
      </w:tr>
    </w:tbl>
    <w:p w:rsidR="00955A63" w:rsidRDefault="00955A63"/>
    <w:p w:rsidR="00955A63" w:rsidRDefault="00955A63"/>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D921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A3F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FAE"/>
    <w:multiLevelType w:val="hybridMultilevel"/>
    <w:tmpl w:val="0916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1204A4"/>
    <w:rsid w:val="001D4B75"/>
    <w:rsid w:val="001D7701"/>
    <w:rsid w:val="001E680B"/>
    <w:rsid w:val="00251D2D"/>
    <w:rsid w:val="002878B1"/>
    <w:rsid w:val="002C133A"/>
    <w:rsid w:val="003027B2"/>
    <w:rsid w:val="0038232F"/>
    <w:rsid w:val="0044590D"/>
    <w:rsid w:val="00494C2D"/>
    <w:rsid w:val="004B50DA"/>
    <w:rsid w:val="00585427"/>
    <w:rsid w:val="005952DE"/>
    <w:rsid w:val="005A06A0"/>
    <w:rsid w:val="005B57C2"/>
    <w:rsid w:val="005C614F"/>
    <w:rsid w:val="005C7059"/>
    <w:rsid w:val="006E18D6"/>
    <w:rsid w:val="007847B3"/>
    <w:rsid w:val="007E7224"/>
    <w:rsid w:val="008B7731"/>
    <w:rsid w:val="00954D9C"/>
    <w:rsid w:val="00955A63"/>
    <w:rsid w:val="00986CB1"/>
    <w:rsid w:val="009D5ECD"/>
    <w:rsid w:val="00AD2139"/>
    <w:rsid w:val="00B95206"/>
    <w:rsid w:val="00BA12F7"/>
    <w:rsid w:val="00BB5006"/>
    <w:rsid w:val="00BC204A"/>
    <w:rsid w:val="00BF3798"/>
    <w:rsid w:val="00C03391"/>
    <w:rsid w:val="00C15C8C"/>
    <w:rsid w:val="00C17C7F"/>
    <w:rsid w:val="00D24617"/>
    <w:rsid w:val="00DE27B0"/>
    <w:rsid w:val="00DF167B"/>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2A8609E0"/>
  <w15:docId w15:val="{B58C39C1-E403-41DE-9ADB-A0B58F21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2.xml><?xml version="1.0" encoding="utf-8"?>
<ds:datastoreItem xmlns:ds="http://schemas.openxmlformats.org/officeDocument/2006/customXml" ds:itemID="{E177BA2D-3581-4A0E-B750-469AAA6CF0F4}">
  <ds:schemaRefs>
    <ds:schemaRef ds:uri="office.server.policy"/>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6.xml><?xml version="1.0" encoding="utf-8"?>
<ds:datastoreItem xmlns:ds="http://schemas.openxmlformats.org/officeDocument/2006/customXml" ds:itemID="{071D27E4-C1BD-401C-AEF3-411B8D47AFF1}">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http://www.w3.org/XML/1998/namespace"/>
    <ds:schemaRef ds:uri="http://purl.org/dc/dcmitype/"/>
    <ds:schemaRef ds:uri="http://schemas.microsoft.com/office/infopath/2007/PartnerControls"/>
    <ds:schemaRef ds:uri="1dc33b59-6e3e-413b-bd09-9935ab8ef5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1</cp:revision>
  <cp:lastPrinted>2017-05-03T15:45:00Z</cp:lastPrinted>
  <dcterms:created xsi:type="dcterms:W3CDTF">2017-08-16T20:44:00Z</dcterms:created>
  <dcterms:modified xsi:type="dcterms:W3CDTF">2017-09-12T18:20:00Z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